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MUTUAL NON-DISCLOSURE AGREEMENT</w:t>
            </w:r>
          </w:p>
          <w:p>
            <w:pPr>
              <w:spacing w:after="20" w:before="0"/>
            </w:pPr>
            <w:r>
              <w:rPr>
                <w:rFonts w:ascii="Arial" w:cs="Arial" w:eastAsia="Arial" w:hAnsi="Arial"/>
                <w:b/>
                <w:bCs/>
                <w:color w:val="111111"/>
                <w:sz w:val="22"/>
                <w:szCs w:val="22"/>
              </w:rPr>
              <w:t xml:space="preserve">Brightline Studio LLC</w:t>
            </w:r>
          </w:p>
          <w:p>
            <w:pPr>
              <w:spacing w:after="20" w:before="0"/>
            </w:pPr>
            <w:r>
              <w:rPr>
                <w:rFonts w:ascii="Arial" w:cs="Arial" w:eastAsia="Arial" w:hAnsi="Arial"/>
                <w:color w:val="6B7280"/>
                <w:sz w:val="20"/>
                <w:szCs w:val="20"/>
              </w:rPr>
              <w:t xml:space="preserve">214 Market Street, Suite 5, Austin, TX 78701, USA</w:t>
            </w:r>
          </w:p>
          <w:p>
            <w:pPr>
              <w:spacing w:after="20" w:before="0"/>
            </w:pPr>
            <w:r>
              <w:rPr>
                <w:rFonts w:ascii="Arial" w:cs="Arial" w:eastAsia="Arial" w:hAnsi="Arial"/>
                <w:color w:val="6B7280"/>
                <w:sz w:val="20"/>
                <w:szCs w:val="20"/>
              </w:rPr>
              <w:t xml:space="preserve">hello@brightline.example · +1 (512) 555-0142</w:t>
            </w:r>
          </w:p>
          <w:p>
            <w:pPr>
              <w:spacing w:after="20" w:before="0"/>
            </w:pPr>
            <w:r>
              <w:rPr>
                <w:rFonts w:ascii="Arial" w:cs="Arial" w:eastAsia="Arial" w:hAnsi="Arial"/>
                <w:color w:val="6B7280"/>
                <w:sz w:val="20"/>
                <w:szCs w:val="20"/>
              </w:rPr>
              <w:t xml:space="preserve">Sample NDA · dates in MM/DD/YYYY</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Agreement No.: </w:t>
            </w:r>
            <w:r>
              <w:rPr>
                <w:rFonts w:ascii="Arial" w:cs="Arial" w:eastAsia="Arial" w:hAnsi="Arial"/>
                <w:color w:val="111111"/>
                <w:sz w:val="20"/>
                <w:szCs w:val="20"/>
              </w:rPr>
              <w:t xml:space="preserve">NDA-2026-004</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10/20/2026</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10/20/2026</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PARTY 1</w:t>
            </w:r>
          </w:p>
          <w:p>
            <w:pPr>
              <w:spacing w:after="20" w:before="0"/>
            </w:pPr>
            <w:r>
              <w:rPr>
                <w:rFonts w:ascii="Arial" w:cs="Arial" w:eastAsia="Arial" w:hAnsi="Arial"/>
                <w:b/>
                <w:bCs/>
                <w:color w:val="111111"/>
                <w:sz w:val="20"/>
                <w:szCs w:val="20"/>
              </w:rPr>
              <w:t xml:space="preserve">Brightline Studio LLC</w:t>
            </w:r>
          </w:p>
          <w:p>
            <w:pPr>
              <w:spacing w:after="20" w:before="0"/>
            </w:pPr>
            <w:r>
              <w:rPr>
                <w:rFonts w:ascii="Arial" w:cs="Arial" w:eastAsia="Arial" w:hAnsi="Arial"/>
                <w:b w:val="false"/>
                <w:bCs w:val="false"/>
                <w:color w:val="111111"/>
                <w:sz w:val="20"/>
                <w:szCs w:val="20"/>
              </w:rPr>
              <w:t xml:space="preserve">214 Market Street, Suite 5, Austin, TX 78701</w:t>
            </w:r>
          </w:p>
          <w:p>
            <w:pPr>
              <w:spacing w:after="20" w:before="0"/>
            </w:pPr>
            <w:r>
              <w:rPr>
                <w:rFonts w:ascii="Arial" w:cs="Arial" w:eastAsia="Arial" w:hAnsi="Arial"/>
                <w:b w:val="false"/>
                <w:bCs w:val="false"/>
                <w:color w:val="111111"/>
                <w:sz w:val="20"/>
                <w:szCs w:val="20"/>
              </w:rPr>
              <w:t xml:space="preserve">Maya Torres, Managing Director</w:t>
            </w:r>
          </w:p>
          <w:p>
            <w:pPr>
              <w:spacing w:after="20" w:before="0"/>
            </w:pPr>
            <w:r>
              <w:rPr>
                <w:rFonts w:ascii="Arial" w:cs="Arial" w:eastAsia="Arial" w:hAnsi="Arial"/>
                <w:b w:val="false"/>
                <w:bCs w:val="false"/>
                <w:color w:val="111111"/>
                <w:sz w:val="20"/>
                <w:szCs w:val="20"/>
              </w:rPr>
              <w:t xml:space="preserve">hello@brightline.example</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PARTY 2</w:t>
            </w:r>
          </w:p>
          <w:p>
            <w:pPr>
              <w:spacing w:after="20" w:before="0"/>
            </w:pPr>
            <w:r>
              <w:rPr>
                <w:rFonts w:ascii="Arial" w:cs="Arial" w:eastAsia="Arial" w:hAnsi="Arial"/>
                <w:b/>
                <w:bCs/>
                <w:color w:val="111111"/>
                <w:sz w:val="20"/>
                <w:szCs w:val="20"/>
              </w:rPr>
              <w:t xml:space="preserve">GreenLeaf Organics Inc.</w:t>
            </w:r>
          </w:p>
          <w:p>
            <w:pPr>
              <w:spacing w:after="20" w:before="0"/>
            </w:pPr>
            <w:r>
              <w:rPr>
                <w:rFonts w:ascii="Arial" w:cs="Arial" w:eastAsia="Arial" w:hAnsi="Arial"/>
                <w:b w:val="false"/>
                <w:bCs w:val="false"/>
                <w:color w:val="111111"/>
                <w:sz w:val="20"/>
                <w:szCs w:val="20"/>
              </w:rPr>
              <w:t xml:space="preserve">77 Cedar Lane, Portland, OR 97205</w:t>
            </w:r>
          </w:p>
          <w:p>
            <w:pPr>
              <w:spacing w:after="20" w:before="0"/>
            </w:pPr>
            <w:r>
              <w:rPr>
                <w:rFonts w:ascii="Arial" w:cs="Arial" w:eastAsia="Arial" w:hAnsi="Arial"/>
                <w:b w:val="false"/>
                <w:bCs w:val="false"/>
                <w:color w:val="111111"/>
                <w:sz w:val="20"/>
                <w:szCs w:val="20"/>
              </w:rPr>
              <w:t xml:space="preserve">Daniel Price, Head of Marketing</w:t>
            </w:r>
          </w:p>
          <w:p>
            <w:pPr>
              <w:spacing w:after="20" w:before="0"/>
            </w:pPr>
            <w:r>
              <w:rPr>
                <w:rFonts w:ascii="Arial" w:cs="Arial" w:eastAsia="Arial" w:hAnsi="Arial"/>
                <w:b w:val="false"/>
                <w:bCs w:val="false"/>
                <w:color w:val="111111"/>
                <w:sz w:val="20"/>
                <w:szCs w:val="20"/>
              </w:rPr>
              <w:t xml:space="preserve">daniel@greenleaf.example</w:t>
            </w:r>
          </w:p>
        </w:tc>
      </w:tr>
    </w:tbl>
    <w:p>
      <w:pPr>
        <w:spacing w:after="120" w:before="200"/>
      </w:pPr>
      <w:r>
        <w:rPr>
          <w:rFonts w:ascii="Arial" w:cs="Arial" w:eastAsia="Arial" w:hAnsi="Arial"/>
          <w:color w:val="111111"/>
          <w:sz w:val="20"/>
          <w:szCs w:val="20"/>
        </w:rPr>
        <w:t xml:space="preserve">In this mutual agreement, each party may share Confidential Information with the other while they discuss a website redesign and marketing retainer.</w:t>
      </w:r>
    </w:p>
    <w:p>
      <w:pPr>
        <w:pStyle w:val="Heading1"/>
        <w:spacing w:after="80" w:before="240"/>
      </w:pPr>
      <w:r>
        <w:rPr>
          <w:rFonts w:ascii="Arial" w:cs="Arial" w:eastAsia="Arial" w:hAnsi="Arial"/>
          <w:b/>
          <w:bCs/>
          <w:color w:val="1DB894"/>
          <w:sz w:val="22"/>
          <w:szCs w:val="22"/>
        </w:rPr>
        <w:t xml:space="preserve">1. Purpose</w:t>
      </w:r>
    </w:p>
    <w:p>
      <w:pPr>
        <w:spacing w:after="80" w:before="0"/>
      </w:pPr>
      <w:r>
        <w:rPr>
          <w:rFonts w:ascii="Arial" w:cs="Arial" w:eastAsia="Arial" w:hAnsi="Arial"/>
          <w:color w:val="111111"/>
          <w:sz w:val="20"/>
          <w:szCs w:val="20"/>
        </w:rPr>
        <w:t xml:space="preserve">The parties will share Confidential Information to evaluate and plan a website redesign and monthly marketing retainer for GreenLeaf Organics (the "Purpose").</w:t>
      </w:r>
    </w:p>
    <w:p>
      <w:pPr>
        <w:pStyle w:val="Heading1"/>
        <w:spacing w:after="80" w:before="240"/>
      </w:pPr>
      <w:r>
        <w:rPr>
          <w:rFonts w:ascii="Arial" w:cs="Arial" w:eastAsia="Arial" w:hAnsi="Arial"/>
          <w:b/>
          <w:bCs/>
          <w:color w:val="1DB894"/>
          <w:sz w:val="22"/>
          <w:szCs w:val="22"/>
        </w:rPr>
        <w:t xml:space="preserve">2. Confidential Information</w:t>
      </w:r>
    </w:p>
    <w:p>
      <w:pPr>
        <w:spacing w:after="80" w:before="0"/>
      </w:pPr>
      <w:r>
        <w:rPr>
          <w:rFonts w:ascii="Arial" w:cs="Arial" w:eastAsia="Arial" w:hAnsi="Arial"/>
          <w:color w:val="111111"/>
          <w:sz w:val="20"/>
          <w:szCs w:val="20"/>
        </w:rPr>
        <w:t xml:space="preserve">"Confidential Information" means non-public information either party shares for the Purpose, including GreenLeaf's sales figures, product launch plans and customer data, and Brightline's pricing, processes and client case studies.</w:t>
      </w:r>
    </w:p>
    <w:p>
      <w:pPr>
        <w:pStyle w:val="Heading1"/>
        <w:spacing w:after="80" w:before="240"/>
      </w:pPr>
      <w:r>
        <w:rPr>
          <w:rFonts w:ascii="Arial" w:cs="Arial" w:eastAsia="Arial" w:hAnsi="Arial"/>
          <w:b/>
          <w:bCs/>
          <w:color w:val="1DB894"/>
          <w:sz w:val="22"/>
          <w:szCs w:val="22"/>
        </w:rPr>
        <w:t xml:space="preserve">3. Exclusions</w:t>
      </w:r>
    </w:p>
    <w:p>
      <w:pPr>
        <w:spacing w:after="80" w:before="0"/>
      </w:pPr>
      <w:r>
        <w:rPr>
          <w:rFonts w:ascii="Arial" w:cs="Arial" w:eastAsia="Arial" w:hAnsi="Arial"/>
          <w:color w:val="111111"/>
          <w:sz w:val="20"/>
          <w:szCs w:val="20"/>
        </w:rPr>
        <w:t xml:space="preserve">Confidential Information does not include information that is or becomes public through no fault of the receiving party, was already lawfully known to it, is received from a third party without a duty of confidentiality, or is independently developed without using the Confidential Information.</w:t>
      </w:r>
    </w:p>
    <w:p>
      <w:pPr>
        <w:pStyle w:val="Heading1"/>
        <w:spacing w:after="80" w:before="240"/>
      </w:pPr>
      <w:r>
        <w:rPr>
          <w:rFonts w:ascii="Arial" w:cs="Arial" w:eastAsia="Arial" w:hAnsi="Arial"/>
          <w:b/>
          <w:bCs/>
          <w:color w:val="1DB894"/>
          <w:sz w:val="22"/>
          <w:szCs w:val="22"/>
        </w:rPr>
        <w:t xml:space="preserve">4. Obligations</w:t>
      </w:r>
    </w:p>
    <w:p>
      <w:pPr>
        <w:spacing w:after="40" w:before="0"/>
      </w:pPr>
      <w:r>
        <w:rPr>
          <w:rFonts w:ascii="Arial" w:cs="Arial" w:eastAsia="Arial" w:hAnsi="Arial"/>
          <w:color w:val="111111"/>
          <w:sz w:val="20"/>
          <w:szCs w:val="20"/>
        </w:rPr>
        <w:t xml:space="preserve">•  Each party will use the Confidential Information only for the Purpose.</w:t>
      </w:r>
    </w:p>
    <w:p>
      <w:pPr>
        <w:spacing w:after="40" w:before="0"/>
      </w:pPr>
      <w:r>
        <w:rPr>
          <w:rFonts w:ascii="Arial" w:cs="Arial" w:eastAsia="Arial" w:hAnsi="Arial"/>
          <w:color w:val="111111"/>
          <w:sz w:val="20"/>
          <w:szCs w:val="20"/>
        </w:rPr>
        <w:t xml:space="preserve">•  Each party will not disclose it to anyone except its staff and advisers who need to know it and are bound by similar confidentiality duties.</w:t>
      </w:r>
    </w:p>
    <w:p>
      <w:pPr>
        <w:spacing w:after="40" w:before="0"/>
      </w:pPr>
      <w:r>
        <w:rPr>
          <w:rFonts w:ascii="Arial" w:cs="Arial" w:eastAsia="Arial" w:hAnsi="Arial"/>
          <w:color w:val="111111"/>
          <w:sz w:val="20"/>
          <w:szCs w:val="20"/>
        </w:rPr>
        <w:t xml:space="preserve">•  Each party will protect it with at least the care it uses for its own confidential information, and no less than reasonable care.</w:t>
      </w:r>
    </w:p>
    <w:p>
      <w:pPr>
        <w:pStyle w:val="Heading1"/>
        <w:spacing w:after="80" w:before="240"/>
      </w:pPr>
      <w:r>
        <w:rPr>
          <w:rFonts w:ascii="Arial" w:cs="Arial" w:eastAsia="Arial" w:hAnsi="Arial"/>
          <w:b/>
          <w:bCs/>
          <w:color w:val="1DB894"/>
          <w:sz w:val="22"/>
          <w:szCs w:val="22"/>
        </w:rPr>
        <w:t xml:space="preserve">5. Disclosure Required by Law</w:t>
      </w:r>
    </w:p>
    <w:p>
      <w:pPr>
        <w:spacing w:after="80" w:before="0"/>
      </w:pPr>
      <w:r>
        <w:rPr>
          <w:rFonts w:ascii="Arial" w:cs="Arial" w:eastAsia="Arial" w:hAnsi="Arial"/>
          <w:color w:val="111111"/>
          <w:sz w:val="20"/>
          <w:szCs w:val="20"/>
        </w:rPr>
        <w:t xml:space="preserve">If the law or a court requires disclosure, the receiving party may disclose only what is required and, where allowed, will tell the disclosing party first.</w:t>
      </w:r>
    </w:p>
    <w:p>
      <w:pPr>
        <w:pStyle w:val="Heading1"/>
        <w:spacing w:after="80" w:before="240"/>
      </w:pPr>
      <w:r>
        <w:rPr>
          <w:rFonts w:ascii="Arial" w:cs="Arial" w:eastAsia="Arial" w:hAnsi="Arial"/>
          <w:b/>
          <w:bCs/>
          <w:color w:val="1DB894"/>
          <w:sz w:val="22"/>
          <w:szCs w:val="22"/>
        </w:rPr>
        <w:t xml:space="preserve">6. Term</w:t>
      </w:r>
    </w:p>
    <w:p>
      <w:pPr>
        <w:spacing w:after="80" w:before="0"/>
      </w:pPr>
      <w:r>
        <w:rPr>
          <w:rFonts w:ascii="Arial" w:cs="Arial" w:eastAsia="Arial" w:hAnsi="Arial"/>
          <w:color w:val="111111"/>
          <w:sz w:val="20"/>
          <w:szCs w:val="20"/>
        </w:rPr>
        <w:t xml:space="preserve">This agreement starts on the effective date. The confidentiality obligations continue for 2 years after the last disclosure, and for trade secrets for as long as they remain trade secrets.</w:t>
      </w:r>
    </w:p>
    <w:p>
      <w:pPr>
        <w:pStyle w:val="Heading1"/>
        <w:spacing w:after="80" w:before="240"/>
      </w:pPr>
      <w:r>
        <w:rPr>
          <w:rFonts w:ascii="Arial" w:cs="Arial" w:eastAsia="Arial" w:hAnsi="Arial"/>
          <w:b/>
          <w:bCs/>
          <w:color w:val="1DB894"/>
          <w:sz w:val="22"/>
          <w:szCs w:val="22"/>
        </w:rPr>
        <w:t xml:space="preserve">7. Return or Destruction</w:t>
      </w:r>
    </w:p>
    <w:p>
      <w:pPr>
        <w:spacing w:after="80" w:before="0"/>
      </w:pPr>
      <w:r>
        <w:rPr>
          <w:rFonts w:ascii="Arial" w:cs="Arial" w:eastAsia="Arial" w:hAnsi="Arial"/>
          <w:color w:val="111111"/>
          <w:sz w:val="20"/>
          <w:szCs w:val="20"/>
        </w:rPr>
        <w:t xml:space="preserve">On request, or when the Purpose ends, the receiving party will return or destroy the Confidential Information and confirm this in writing, except copies it must keep by law.</w:t>
      </w:r>
    </w:p>
    <w:p>
      <w:pPr>
        <w:pStyle w:val="Heading1"/>
        <w:spacing w:after="80" w:before="240"/>
      </w:pPr>
      <w:r>
        <w:rPr>
          <w:rFonts w:ascii="Arial" w:cs="Arial" w:eastAsia="Arial" w:hAnsi="Arial"/>
          <w:b/>
          <w:bCs/>
          <w:color w:val="1DB894"/>
          <w:sz w:val="22"/>
          <w:szCs w:val="22"/>
        </w:rPr>
        <w:t xml:space="preserve">8. No Licence</w:t>
      </w:r>
    </w:p>
    <w:p>
      <w:pPr>
        <w:spacing w:after="80" w:before="0"/>
      </w:pPr>
      <w:r>
        <w:rPr>
          <w:rFonts w:ascii="Arial" w:cs="Arial" w:eastAsia="Arial" w:hAnsi="Arial"/>
          <w:color w:val="111111"/>
          <w:sz w:val="20"/>
          <w:szCs w:val="20"/>
        </w:rPr>
        <w:t xml:space="preserve">Sharing Confidential Information does not give the receiving party any licence or ownership of it.</w:t>
      </w:r>
    </w:p>
    <w:p>
      <w:pPr>
        <w:pStyle w:val="Heading1"/>
        <w:spacing w:after="80" w:before="240"/>
      </w:pPr>
      <w:r>
        <w:rPr>
          <w:rFonts w:ascii="Arial" w:cs="Arial" w:eastAsia="Arial" w:hAnsi="Arial"/>
          <w:b/>
          <w:bCs/>
          <w:color w:val="1DB894"/>
          <w:sz w:val="22"/>
          <w:szCs w:val="22"/>
        </w:rPr>
        <w:t xml:space="preserve">9. Remedies</w:t>
      </w:r>
    </w:p>
    <w:p>
      <w:pPr>
        <w:spacing w:after="80" w:before="0"/>
      </w:pPr>
      <w:r>
        <w:rPr>
          <w:rFonts w:ascii="Arial" w:cs="Arial" w:eastAsia="Arial" w:hAnsi="Arial"/>
          <w:color w:val="111111"/>
          <w:sz w:val="20"/>
          <w:szCs w:val="20"/>
        </w:rPr>
        <w:t xml:space="preserve">A breach may cause harm that money alone cannot fix, so the disclosing party may seek an injunction or other relief in addition to any other remedy available.</w:t>
      </w:r>
    </w:p>
    <w:p>
      <w:pPr>
        <w:pStyle w:val="Heading1"/>
        <w:spacing w:after="80" w:before="240"/>
      </w:pPr>
      <w:r>
        <w:rPr>
          <w:rFonts w:ascii="Arial" w:cs="Arial" w:eastAsia="Arial" w:hAnsi="Arial"/>
          <w:b/>
          <w:bCs/>
          <w:color w:val="1DB894"/>
          <w:sz w:val="22"/>
          <w:szCs w:val="22"/>
        </w:rPr>
        <w:t xml:space="preserve">10. General</w:t>
      </w:r>
    </w:p>
    <w:p>
      <w:pPr>
        <w:spacing w:after="80" w:before="0"/>
      </w:pPr>
      <w:r>
        <w:rPr>
          <w:rFonts w:ascii="Arial" w:cs="Arial" w:eastAsia="Arial" w:hAnsi="Arial"/>
          <w:color w:val="111111"/>
          <w:sz w:val="20"/>
          <w:szCs w:val="20"/>
        </w:rPr>
        <w:t xml:space="preserve">This agreement is governed by the laws of the State of Texas, and the courts of Austin, Texas have jurisdiction. It is the whole agreement on this subject and can only be changed in writing signed by both parties.</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PARTY 1</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PARTY 2</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NDA template by Taskip. Generate an NDA with AI: taskip.net/tools/free-ai-nda-generator/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Taskip</dc:creator>
  <dc:description>Free mutual non-disclosure agreement by Taskip</dc:description>
  <cp:lastModifiedBy>Un-named</cp:lastModifiedBy>
  <cp:revision>1</cp:revision>
  <dcterms:created xsi:type="dcterms:W3CDTF">2026-10-15T11:08:07.264Z</dcterms:created>
  <dcterms:modified xsi:type="dcterms:W3CDTF">2026-10-15T11:08:07.264Z</dcterms:modified>
</cp:coreProperties>
</file>

<file path=docProps/custom.xml><?xml version="1.0" encoding="utf-8"?>
<Properties xmlns="http://schemas.openxmlformats.org/officeDocument/2006/custom-properties" xmlns:vt="http://schemas.openxmlformats.org/officeDocument/2006/docPropsVTypes"/>
</file>