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DIGITAL MARKETING SCOPE OF WORK</w:t>
            </w:r>
          </w:p>
          <w:p>
            <w:pPr>
              <w:spacing w:after="20" w:before="0"/>
            </w:pPr>
            <w:r>
              <w:rPr>
                <w:rFonts w:ascii="Arial" w:cs="Arial" w:eastAsia="Arial" w:hAnsi="Arial"/>
                <w:b/>
                <w:bCs/>
                <w:color w:val="111111"/>
                <w:sz w:val="22"/>
                <w:szCs w:val="22"/>
              </w:rPr>
              <w:t xml:space="preserve">Brightline Studio LLC</w:t>
            </w:r>
          </w:p>
          <w:p>
            <w:pPr>
              <w:spacing w:after="20" w:before="0"/>
            </w:pPr>
            <w:r>
              <w:rPr>
                <w:rFonts w:ascii="Arial" w:cs="Arial" w:eastAsia="Arial" w:hAnsi="Arial"/>
                <w:color w:val="6B7280"/>
                <w:sz w:val="20"/>
                <w:szCs w:val="20"/>
              </w:rPr>
              <w:t xml:space="preserve">214 Market Street, Suite 5, Austin, TX 78701, USA</w:t>
            </w:r>
          </w:p>
          <w:p>
            <w:pPr>
              <w:spacing w:after="20" w:before="0"/>
            </w:pPr>
            <w:r>
              <w:rPr>
                <w:rFonts w:ascii="Arial" w:cs="Arial" w:eastAsia="Arial" w:hAnsi="Arial"/>
                <w:color w:val="6B7280"/>
                <w:sz w:val="20"/>
                <w:szCs w:val="20"/>
              </w:rPr>
              <w:t xml:space="preserve">hello@brightline.example · +1 (512) 555-0142</w:t>
            </w:r>
          </w:p>
          <w:p>
            <w:pPr>
              <w:spacing w:after="20" w:before="0"/>
            </w:pPr>
            <w:r>
              <w:rPr>
                <w:rFonts w:ascii="Arial" w:cs="Arial" w:eastAsia="Arial" w:hAnsi="Arial"/>
                <w:color w:val="6B7280"/>
                <w:sz w:val="20"/>
                <w:szCs w:val="20"/>
              </w:rPr>
              <w:t xml:space="preserve">Sample scope of work · dates in MM/DD/YYYY</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SOW No.: </w:t>
            </w:r>
            <w:r>
              <w:rPr>
                <w:rFonts w:ascii="Arial" w:cs="Arial" w:eastAsia="Arial" w:hAnsi="Arial"/>
                <w:color w:val="111111"/>
                <w:sz w:val="20"/>
                <w:szCs w:val="20"/>
              </w:rPr>
              <w:t xml:space="preserve">SOW-2026-024</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10/20/2026</w:t>
            </w:r>
          </w:p>
          <w:p>
            <w:pPr>
              <w:spacing w:after="20"/>
              <w:jc w:val="right"/>
            </w:pPr>
            <w:r>
              <w:rPr>
                <w:rFonts w:ascii="Arial" w:cs="Arial" w:eastAsia="Arial" w:hAnsi="Arial"/>
                <w:color w:val="6B7280"/>
                <w:sz w:val="20"/>
                <w:szCs w:val="20"/>
              </w:rPr>
              <w:t xml:space="preserve">Start date: </w:t>
            </w:r>
            <w:r>
              <w:rPr>
                <w:rFonts w:ascii="Arial" w:cs="Arial" w:eastAsia="Arial" w:hAnsi="Arial"/>
                <w:color w:val="111111"/>
                <w:sz w:val="20"/>
                <w:szCs w:val="20"/>
              </w:rPr>
              <w:t xml:space="preserve">11/02/2026</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AGENCY</w:t>
            </w:r>
          </w:p>
          <w:p>
            <w:pPr>
              <w:spacing w:after="20" w:before="0"/>
            </w:pPr>
            <w:r>
              <w:rPr>
                <w:rFonts w:ascii="Arial" w:cs="Arial" w:eastAsia="Arial" w:hAnsi="Arial"/>
                <w:b/>
                <w:bCs/>
                <w:color w:val="111111"/>
                <w:sz w:val="20"/>
                <w:szCs w:val="20"/>
              </w:rPr>
              <w:t xml:space="preserve">Brightline Studio LLC</w:t>
            </w:r>
          </w:p>
          <w:p>
            <w:pPr>
              <w:spacing w:after="20" w:before="0"/>
            </w:pPr>
            <w:r>
              <w:rPr>
                <w:rFonts w:ascii="Arial" w:cs="Arial" w:eastAsia="Arial" w:hAnsi="Arial"/>
                <w:b w:val="false"/>
                <w:bCs w:val="false"/>
                <w:color w:val="111111"/>
                <w:sz w:val="20"/>
                <w:szCs w:val="20"/>
              </w:rPr>
              <w:t xml:space="preserve">Maya Torres, Managing Director</w:t>
            </w:r>
          </w:p>
          <w:p>
            <w:pPr>
              <w:spacing w:after="20" w:before="0"/>
            </w:pPr>
            <w:r>
              <w:rPr>
                <w:rFonts w:ascii="Arial" w:cs="Arial" w:eastAsia="Arial" w:hAnsi="Arial"/>
                <w:b w:val="false"/>
                <w:bCs w:val="false"/>
                <w:color w:val="111111"/>
                <w:sz w:val="20"/>
                <w:szCs w:val="20"/>
              </w:rPr>
              <w:t xml:space="preserve">hello@brightline.example</w:t>
            </w:r>
          </w:p>
          <w:p>
            <w:pPr>
              <w:spacing w:after="20" w:before="0"/>
            </w:pPr>
            <w:r>
              <w:rPr>
                <w:rFonts w:ascii="Arial" w:cs="Arial" w:eastAsia="Arial" w:hAnsi="Arial"/>
                <w:b w:val="false"/>
                <w:bCs w:val="false"/>
                <w:color w:val="111111"/>
                <w:sz w:val="20"/>
                <w:szCs w:val="20"/>
              </w:rPr>
              <w:t xml:space="preserve">Austin, TX, USA</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GreenLeaf Organics Inc.</w:t>
            </w:r>
          </w:p>
          <w:p>
            <w:pPr>
              <w:spacing w:after="20" w:before="0"/>
            </w:pPr>
            <w:r>
              <w:rPr>
                <w:rFonts w:ascii="Arial" w:cs="Arial" w:eastAsia="Arial" w:hAnsi="Arial"/>
                <w:b w:val="false"/>
                <w:bCs w:val="false"/>
                <w:color w:val="111111"/>
                <w:sz w:val="20"/>
                <w:szCs w:val="20"/>
              </w:rPr>
              <w:t xml:space="preserve">Daniel Price, Head of Marketing</w:t>
            </w:r>
          </w:p>
          <w:p>
            <w:pPr>
              <w:spacing w:after="20" w:before="0"/>
            </w:pPr>
            <w:r>
              <w:rPr>
                <w:rFonts w:ascii="Arial" w:cs="Arial" w:eastAsia="Arial" w:hAnsi="Arial"/>
                <w:b w:val="false"/>
                <w:bCs w:val="false"/>
                <w:color w:val="111111"/>
                <w:sz w:val="20"/>
                <w:szCs w:val="20"/>
              </w:rPr>
              <w:t xml:space="preserve">77 Cedar Lane, Portland, OR 97205, USA</w:t>
            </w:r>
          </w:p>
          <w:p>
            <w:pPr>
              <w:spacing w:after="20" w:before="0"/>
            </w:pPr>
            <w:r>
              <w:rPr>
                <w:rFonts w:ascii="Arial" w:cs="Arial" w:eastAsia="Arial" w:hAnsi="Arial"/>
                <w:b w:val="false"/>
                <w:bCs w:val="false"/>
                <w:color w:val="111111"/>
                <w:sz w:val="20"/>
                <w:szCs w:val="20"/>
              </w:rPr>
              <w:t xml:space="preserve">daniel@greenleaf.example</w:t>
            </w:r>
          </w:p>
        </w:tc>
      </w:tr>
    </w:tbl>
    <w:p>
      <w:pPr>
        <w:spacing w:after="120" w:before="200"/>
      </w:pPr>
      <w:r>
        <w:rPr>
          <w:rFonts w:ascii="Arial" w:cs="Arial" w:eastAsia="Arial" w:hAnsi="Arial"/>
          <w:color w:val="111111"/>
          <w:sz w:val="20"/>
          <w:szCs w:val="20"/>
        </w:rPr>
        <w:t xml:space="preserve">This scope of work covers a 12-week digital marketing campaign to launch GreenLeaf Organics' new snack range online, across paid search, paid social, email and a campaign landing page.</w:t>
      </w:r>
    </w:p>
    <w:p>
      <w:pPr>
        <w:pStyle w:val="Heading1"/>
        <w:spacing w:after="80" w:before="240"/>
      </w:pPr>
      <w:r>
        <w:rPr>
          <w:rFonts w:ascii="Arial" w:cs="Arial" w:eastAsia="Arial" w:hAnsi="Arial"/>
          <w:b/>
          <w:bCs/>
          <w:color w:val="1DB894"/>
          <w:sz w:val="22"/>
          <w:szCs w:val="22"/>
        </w:rPr>
        <w:t xml:space="preserve">1. Objectives</w:t>
      </w:r>
    </w:p>
    <w:p>
      <w:pPr>
        <w:spacing w:after="40" w:before="0"/>
      </w:pPr>
      <w:r>
        <w:rPr>
          <w:rFonts w:ascii="Arial" w:cs="Arial" w:eastAsia="Arial" w:hAnsi="Arial"/>
          <w:color w:val="111111"/>
          <w:sz w:val="20"/>
          <w:szCs w:val="20"/>
        </w:rPr>
        <w:t xml:space="preserve">•  Drive online orders of the new range from launch week onward.</w:t>
      </w:r>
    </w:p>
    <w:p>
      <w:pPr>
        <w:spacing w:after="40" w:before="0"/>
      </w:pPr>
      <w:r>
        <w:rPr>
          <w:rFonts w:ascii="Arial" w:cs="Arial" w:eastAsia="Arial" w:hAnsi="Arial"/>
          <w:color w:val="111111"/>
          <w:sz w:val="20"/>
          <w:szCs w:val="20"/>
        </w:rPr>
        <w:t xml:space="preserve">•  Grow the email list with a launch offer.</w:t>
      </w:r>
    </w:p>
    <w:p>
      <w:pPr>
        <w:spacing w:after="40" w:before="0"/>
      </w:pPr>
      <w:r>
        <w:rPr>
          <w:rFonts w:ascii="Arial" w:cs="Arial" w:eastAsia="Arial" w:hAnsi="Arial"/>
          <w:color w:val="111111"/>
          <w:sz w:val="20"/>
          <w:szCs w:val="20"/>
        </w:rPr>
        <w:t xml:space="preserve">•  Report cost per order and return on ad spend each week.</w:t>
      </w:r>
    </w:p>
    <w:p>
      <w:pPr>
        <w:spacing w:after="40" w:before="0"/>
      </w:pPr>
      <w:r>
        <w:rPr>
          <w:rFonts w:ascii="Arial" w:cs="Arial" w:eastAsia="Arial" w:hAnsi="Arial"/>
          <w:color w:val="111111"/>
          <w:sz w:val="20"/>
          <w:szCs w:val="20"/>
        </w:rPr>
        <w:t xml:space="preserve">•  KPIs are tracked and reported; no specific sales or ROAS figures are guaranteed.</w:t>
      </w:r>
    </w:p>
    <w:p>
      <w:pPr>
        <w:pStyle w:val="Heading1"/>
        <w:spacing w:after="80" w:before="240"/>
      </w:pPr>
      <w:r>
        <w:rPr>
          <w:rFonts w:ascii="Arial" w:cs="Arial" w:eastAsia="Arial" w:hAnsi="Arial"/>
          <w:b/>
          <w:bCs/>
          <w:color w:val="1DB894"/>
          <w:sz w:val="22"/>
          <w:szCs w:val="22"/>
        </w:rPr>
        <w:t xml:space="preserve">2. Deliverables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241"/>
        <w:gridCol w:w="964"/>
        <w:gridCol w:w="2313"/>
        <w:gridCol w:w="2120"/>
      </w:tblGrid>
      <w:tr>
        <w:trPr>
          <w:tblHeader/>
        </w:trPr>
        <w:tc>
          <w:tcPr>
            <w:tcW w:type="dxa" w:w="4241"/>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Deliverable</w:t>
            </w:r>
          </w:p>
        </w:tc>
        <w:tc>
          <w:tcPr>
            <w:tcW w:type="dxa" w:w="964"/>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Qty</w:t>
            </w:r>
          </w:p>
        </w:tc>
        <w:tc>
          <w:tcPr>
            <w:tcW w:type="dxa" w:w="2313"/>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Format</w:t>
            </w:r>
          </w:p>
        </w:tc>
        <w:tc>
          <w:tcPr>
            <w:tcW w:type="dxa" w:w="212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Due</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Campaign strategy, audiences and media plan</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PDF + call</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 2</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Campaign landing page</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Live page</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 4</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Paid search campaigns (setup and management)</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 account</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Google Ads</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Weeks 4 to 12</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Paid social campaigns (setup and management)</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 account</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Meta Ads</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Weeks 4 to 12</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Ad creatives (static and short video)</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16</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PNG + MP4</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Weeks 3 to 8</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Launch email sequence</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4 emails</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Email platform</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 5</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Weekly performance report</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9</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Dashboard + email</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Every Monday from week 4</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Final campaign report and recommendations</w:t>
            </w:r>
          </w:p>
        </w:tc>
        <w:tc>
          <w:tcPr>
            <w:tcW w:type="dxa" w:w="96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1</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PDF + call</w:t>
            </w:r>
          </w:p>
        </w:tc>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 12</w:t>
            </w:r>
          </w:p>
        </w:tc>
      </w:tr>
    </w:tbl>
    <w:p>
      <w:pPr>
        <w:pStyle w:val="Heading1"/>
        <w:spacing w:after="80" w:before="240"/>
      </w:pPr>
      <w:r>
        <w:rPr>
          <w:rFonts w:ascii="Arial" w:cs="Arial" w:eastAsia="Arial" w:hAnsi="Arial"/>
          <w:b/>
          <w:bCs/>
          <w:color w:val="1DB894"/>
          <w:sz w:val="22"/>
          <w:szCs w:val="22"/>
        </w:rPr>
        <w:t xml:space="preserve">3. Timeline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048"/>
        <w:gridCol w:w="1735"/>
        <w:gridCol w:w="3855"/>
      </w:tblGrid>
      <w:tr>
        <w:trPr>
          <w:tblHeader/>
        </w:trPr>
        <w:tc>
          <w:tcPr>
            <w:tcW w:type="dxa" w:w="404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Phase</w:t>
            </w:r>
          </w:p>
        </w:tc>
        <w:tc>
          <w:tcPr>
            <w:tcW w:type="dxa" w:w="173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Weeks</w:t>
            </w:r>
          </w:p>
        </w:tc>
        <w:tc>
          <w:tcPr>
            <w:tcW w:type="dxa" w:w="385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Milestone</w:t>
            </w:r>
          </w:p>
        </w:tc>
      </w:tr>
      <w:tr>
        <w:tc>
          <w:tcPr>
            <w:tcW w:type="dxa" w:w="404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 Strategy and media plan</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Weeks 1 to 2</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Plan approved</w:t>
            </w:r>
          </w:p>
        </w:tc>
      </w:tr>
      <w:tr>
        <w:tc>
          <w:tcPr>
            <w:tcW w:type="dxa" w:w="404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2. Creative, landing page and tracking setup</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Weeks 3 to 4</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Campaign ready to launch</w:t>
            </w:r>
          </w:p>
        </w:tc>
      </w:tr>
      <w:tr>
        <w:tc>
          <w:tcPr>
            <w:tcW w:type="dxa" w:w="404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3. Launch and optimisation</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Weeks 4 to 11</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Weekly reports</w:t>
            </w:r>
          </w:p>
        </w:tc>
      </w:tr>
      <w:tr>
        <w:tc>
          <w:tcPr>
            <w:tcW w:type="dxa" w:w="404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4. Wrap-up and final report</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Week 12</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Final report delivered</w:t>
            </w:r>
          </w:p>
        </w:tc>
      </w:tr>
    </w:tbl>
    <w:p>
      <w:pPr>
        <w:pStyle w:val="Heading1"/>
        <w:spacing w:after="80" w:before="240"/>
      </w:pPr>
      <w:r>
        <w:rPr>
          <w:rFonts w:ascii="Arial" w:cs="Arial" w:eastAsia="Arial" w:hAnsi="Arial"/>
          <w:b/>
          <w:bCs/>
          <w:color w:val="1DB894"/>
          <w:sz w:val="22"/>
          <w:szCs w:val="22"/>
        </w:rPr>
        <w:t xml:space="preserve">4. Client Responsibilities</w:t>
      </w:r>
    </w:p>
    <w:p>
      <w:pPr>
        <w:spacing w:after="40" w:before="0"/>
      </w:pPr>
      <w:r>
        <w:rPr>
          <w:rFonts w:ascii="Arial" w:cs="Arial" w:eastAsia="Arial" w:hAnsi="Arial"/>
          <w:color w:val="111111"/>
          <w:sz w:val="20"/>
          <w:szCs w:val="20"/>
        </w:rPr>
        <w:t xml:space="preserve">•  Give admin access to Google Ads, Meta Ads, analytics and the email platform by week 1.</w:t>
      </w:r>
    </w:p>
    <w:p>
      <w:pPr>
        <w:spacing w:after="40" w:before="0"/>
      </w:pPr>
      <w:r>
        <w:rPr>
          <w:rFonts w:ascii="Arial" w:cs="Arial" w:eastAsia="Arial" w:hAnsi="Arial"/>
          <w:color w:val="111111"/>
          <w:sz w:val="20"/>
          <w:szCs w:val="20"/>
        </w:rPr>
        <w:t xml:space="preserve">•  Supply product photos, offers and stock levels by week 2.</w:t>
      </w:r>
    </w:p>
    <w:p>
      <w:pPr>
        <w:spacing w:after="40" w:before="0"/>
      </w:pPr>
      <w:r>
        <w:rPr>
          <w:rFonts w:ascii="Arial" w:cs="Arial" w:eastAsia="Arial" w:hAnsi="Arial"/>
          <w:color w:val="111111"/>
          <w:sz w:val="20"/>
          <w:szCs w:val="20"/>
        </w:rPr>
        <w:t xml:space="preserve">•  Approve creatives and the landing page within 3 business days.</w:t>
      </w:r>
    </w:p>
    <w:p>
      <w:pPr>
        <w:pStyle w:val="Heading1"/>
        <w:spacing w:after="80" w:before="240"/>
      </w:pPr>
      <w:r>
        <w:rPr>
          <w:rFonts w:ascii="Arial" w:cs="Arial" w:eastAsia="Arial" w:hAnsi="Arial"/>
          <w:b/>
          <w:bCs/>
          <w:color w:val="1DB894"/>
          <w:sz w:val="22"/>
          <w:szCs w:val="22"/>
        </w:rPr>
        <w:t xml:space="preserve">5. Ad Spend</w:t>
      </w:r>
    </w:p>
    <w:p>
      <w:pPr>
        <w:spacing w:after="80" w:before="0"/>
      </w:pPr>
      <w:r>
        <w:rPr>
          <w:rFonts w:ascii="Arial" w:cs="Arial" w:eastAsia="Arial" w:hAnsi="Arial"/>
          <w:color w:val="111111"/>
          <w:sz w:val="20"/>
          <w:szCs w:val="20"/>
        </w:rPr>
        <w:t xml:space="preserve">Ad spend of up to USD 15,000 over the campaign is paid by the client directly to Google and Meta. Spend is not part of the agency fee, and changes to the budget are agreed in writing.</w:t>
      </w:r>
    </w:p>
    <w:p>
      <w:pPr>
        <w:pStyle w:val="Heading1"/>
        <w:spacing w:after="80" w:before="240"/>
      </w:pPr>
      <w:r>
        <w:rPr>
          <w:rFonts w:ascii="Arial" w:cs="Arial" w:eastAsia="Arial" w:hAnsi="Arial"/>
          <w:b/>
          <w:bCs/>
          <w:color w:val="1DB894"/>
          <w:sz w:val="22"/>
          <w:szCs w:val="22"/>
        </w:rPr>
        <w:t xml:space="preserve">6. Revisions</w:t>
      </w:r>
    </w:p>
    <w:p>
      <w:pPr>
        <w:spacing w:after="80" w:before="0"/>
      </w:pPr>
      <w:r>
        <w:rPr>
          <w:rFonts w:ascii="Arial" w:cs="Arial" w:eastAsia="Arial" w:hAnsi="Arial"/>
          <w:color w:val="111111"/>
          <w:sz w:val="20"/>
          <w:szCs w:val="20"/>
        </w:rPr>
        <w:t xml:space="preserve">Each creative batch and the landing page include 2 rounds of revisions. New ad concepts after launch count as change requests.</w:t>
      </w:r>
    </w:p>
    <w:p>
      <w:pPr>
        <w:pStyle w:val="Heading1"/>
        <w:spacing w:after="80" w:before="240"/>
      </w:pPr>
      <w:r>
        <w:rPr>
          <w:rFonts w:ascii="Arial" w:cs="Arial" w:eastAsia="Arial" w:hAnsi="Arial"/>
          <w:b/>
          <w:bCs/>
          <w:color w:val="1DB894"/>
          <w:sz w:val="22"/>
          <w:szCs w:val="22"/>
        </w:rPr>
        <w:t xml:space="preserve">7. Out of Scope</w:t>
      </w:r>
    </w:p>
    <w:p>
      <w:pPr>
        <w:spacing w:after="40" w:before="0"/>
      </w:pPr>
      <w:r>
        <w:rPr>
          <w:rFonts w:ascii="Arial" w:cs="Arial" w:eastAsia="Arial" w:hAnsi="Arial"/>
          <w:color w:val="111111"/>
          <w:sz w:val="20"/>
          <w:szCs w:val="20"/>
        </w:rPr>
        <w:t xml:space="preserve">•  Ad spend</w:t>
      </w:r>
    </w:p>
    <w:p>
      <w:pPr>
        <w:spacing w:after="40" w:before="0"/>
      </w:pPr>
      <w:r>
        <w:rPr>
          <w:rFonts w:ascii="Arial" w:cs="Arial" w:eastAsia="Arial" w:hAnsi="Arial"/>
          <w:color w:val="111111"/>
          <w:sz w:val="20"/>
          <w:szCs w:val="20"/>
        </w:rPr>
        <w:t xml:space="preserve">•  Product photography and video shoots</w:t>
      </w:r>
    </w:p>
    <w:p>
      <w:pPr>
        <w:spacing w:after="40" w:before="0"/>
      </w:pPr>
      <w:r>
        <w:rPr>
          <w:rFonts w:ascii="Arial" w:cs="Arial" w:eastAsia="Arial" w:hAnsi="Arial"/>
          <w:color w:val="111111"/>
          <w:sz w:val="20"/>
          <w:szCs w:val="20"/>
        </w:rPr>
        <w:t xml:space="preserve">•  Influencer partnerships</w:t>
      </w:r>
    </w:p>
    <w:p>
      <w:pPr>
        <w:spacing w:after="40" w:before="0"/>
      </w:pPr>
      <w:r>
        <w:rPr>
          <w:rFonts w:ascii="Arial" w:cs="Arial" w:eastAsia="Arial" w:hAnsi="Arial"/>
          <w:color w:val="111111"/>
          <w:sz w:val="20"/>
          <w:szCs w:val="20"/>
        </w:rPr>
        <w:t xml:space="preserve">•  SEO beyond the landing page, and website changes outside it</w:t>
      </w:r>
    </w:p>
    <w:p>
      <w:pPr>
        <w:pStyle w:val="Heading1"/>
        <w:spacing w:after="80" w:before="240"/>
      </w:pPr>
      <w:r>
        <w:rPr>
          <w:rFonts w:ascii="Arial" w:cs="Arial" w:eastAsia="Arial" w:hAnsi="Arial"/>
          <w:b/>
          <w:bCs/>
          <w:color w:val="1DB894"/>
          <w:sz w:val="22"/>
          <w:szCs w:val="22"/>
        </w:rPr>
        <w:t xml:space="preserve">8. Acceptance Criteria</w:t>
      </w:r>
    </w:p>
    <w:p>
      <w:pPr>
        <w:spacing w:after="80" w:before="0"/>
      </w:pPr>
      <w:r>
        <w:rPr>
          <w:rFonts w:ascii="Arial" w:cs="Arial" w:eastAsia="Arial" w:hAnsi="Arial"/>
          <w:color w:val="111111"/>
          <w:sz w:val="20"/>
          <w:szCs w:val="20"/>
        </w:rPr>
        <w:t xml:space="preserve">Strategy, creatives and the landing page are accepted when the client approves them in writing or does not request changes within 3 business days. Tracking is accepted when test orders show in analytics.</w:t>
      </w:r>
    </w:p>
    <w:p>
      <w:pPr>
        <w:pStyle w:val="Heading1"/>
        <w:spacing w:after="80" w:before="240"/>
      </w:pPr>
      <w:r>
        <w:rPr>
          <w:rFonts w:ascii="Arial" w:cs="Arial" w:eastAsia="Arial" w:hAnsi="Arial"/>
          <w:b/>
          <w:bCs/>
          <w:color w:val="1DB894"/>
          <w:sz w:val="22"/>
          <w:szCs w:val="22"/>
        </w:rPr>
        <w:t xml:space="preserve">9. Fees and Payment Schedule</w:t>
      </w:r>
    </w:p>
    <w:p>
      <w:pPr>
        <w:spacing w:after="80" w:before="0"/>
      </w:pPr>
      <w:r>
        <w:rPr>
          <w:rFonts w:ascii="Arial" w:cs="Arial" w:eastAsia="Arial" w:hAnsi="Arial"/>
          <w:color w:val="111111"/>
          <w:sz w:val="20"/>
          <w:szCs w:val="20"/>
        </w:rPr>
        <w:t xml:space="preserve">The agency fee is USD 12,600 for the 12-week campaign, paid as follows: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241"/>
        <w:gridCol w:w="3084"/>
        <w:gridCol w:w="2313"/>
      </w:tblGrid>
      <w:tr>
        <w:trPr>
          <w:tblHeader/>
        </w:trPr>
        <w:tc>
          <w:tcPr>
            <w:tcW w:type="dxa" w:w="4241"/>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Payment</w:t>
            </w:r>
          </w:p>
        </w:tc>
        <w:tc>
          <w:tcPr>
            <w:tcW w:type="dxa" w:w="3084"/>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Due</w:t>
            </w:r>
          </w:p>
        </w:tc>
        <w:tc>
          <w:tcPr>
            <w:tcW w:type="dxa" w:w="2313"/>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Amount</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 On signing (40%)</w:t>
            </w:r>
          </w:p>
        </w:tc>
        <w:tc>
          <w:tcPr>
            <w:tcW w:type="dxa" w:w="308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11/02/2026</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5,040.00</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2. At launch (30%)</w:t>
            </w:r>
          </w:p>
        </w:tc>
        <w:tc>
          <w:tcPr>
            <w:tcW w:type="dxa" w:w="308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End of week 4</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3,780.00</w:t>
            </w:r>
          </w:p>
        </w:tc>
      </w:tr>
      <w:tr>
        <w:tc>
          <w:tcPr>
            <w:tcW w:type="dxa" w:w="4241"/>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3. On final report (30%)</w:t>
            </w:r>
          </w:p>
        </w:tc>
        <w:tc>
          <w:tcPr>
            <w:tcW w:type="dxa" w:w="3084"/>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End of week 12</w:t>
            </w:r>
          </w:p>
        </w:tc>
        <w:tc>
          <w:tcPr>
            <w:tcW w:type="dxa" w:w="231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3,780.00</w:t>
            </w:r>
          </w:p>
        </w:tc>
      </w:tr>
    </w:tbl>
    <w:p>
      <w:pPr>
        <w:spacing w:after="120" w:before="120"/>
        <w:jc w:val="right"/>
      </w:pPr>
      <w:r>
        <w:rPr>
          <w:rFonts w:ascii="Arial" w:cs="Arial" w:eastAsia="Arial" w:hAnsi="Arial"/>
          <w:b/>
          <w:bCs/>
          <w:color w:val="111111"/>
          <w:sz w:val="20"/>
          <w:szCs w:val="20"/>
        </w:rPr>
        <w:t xml:space="preserve">Total agency fee  </w:t>
      </w:r>
      <w:r>
        <w:rPr>
          <w:rFonts w:ascii="Arial" w:cs="Arial" w:eastAsia="Arial" w:hAnsi="Arial"/>
          <w:b/>
          <w:bCs/>
          <w:color w:val="111111"/>
          <w:sz w:val="22"/>
          <w:szCs w:val="22"/>
        </w:rPr>
        <w:t xml:space="preserve">USD 12,600.00</w:t>
      </w:r>
    </w:p>
    <w:p>
      <w:pPr>
        <w:spacing w:after="80" w:before="0"/>
      </w:pPr>
      <w:r>
        <w:rPr>
          <w:rFonts w:ascii="Arial" w:cs="Arial" w:eastAsia="Arial" w:hAnsi="Arial"/>
          <w:color w:val="111111"/>
          <w:sz w:val="20"/>
          <w:szCs w:val="20"/>
        </w:rPr>
        <w:t xml:space="preserve">Invoices are due within 14 days. Ad spend is billed separately by Google and Meta to the client.</w:t>
      </w:r>
    </w:p>
    <w:p>
      <w:pPr>
        <w:pStyle w:val="Heading1"/>
        <w:spacing w:after="80" w:before="240"/>
      </w:pPr>
      <w:r>
        <w:rPr>
          <w:rFonts w:ascii="Arial" w:cs="Arial" w:eastAsia="Arial" w:hAnsi="Arial"/>
          <w:b/>
          <w:bCs/>
          <w:color w:val="1DB894"/>
          <w:sz w:val="22"/>
          <w:szCs w:val="22"/>
        </w:rPr>
        <w:t xml:space="preserve">10. Change Requests</w:t>
      </w:r>
    </w:p>
    <w:p>
      <w:pPr>
        <w:spacing w:after="80" w:before="0"/>
      </w:pPr>
      <w:r>
        <w:rPr>
          <w:rFonts w:ascii="Arial" w:cs="Arial" w:eastAsia="Arial" w:hAnsi="Arial"/>
          <w:color w:val="111111"/>
          <w:sz w:val="20"/>
          <w:szCs w:val="20"/>
        </w:rPr>
        <w:t xml:space="preserve">Any work outside this scope is requested in writing. The agency replies within 2 business days with the effect on fee and timeline, and the change starts only once both parties approve it in writing.</w:t>
      </w:r>
    </w:p>
    <w:p>
      <w:pPr>
        <w:pStyle w:val="Heading1"/>
        <w:spacing w:after="80" w:before="240"/>
      </w:pPr>
      <w:r>
        <w:rPr>
          <w:rFonts w:ascii="Arial" w:cs="Arial" w:eastAsia="Arial" w:hAnsi="Arial"/>
          <w:b/>
          <w:bCs/>
          <w:color w:val="1DB894"/>
          <w:sz w:val="22"/>
          <w:szCs w:val="22"/>
        </w:rPr>
        <w:t xml:space="preserve">Sign-Off</w:t>
      </w:r>
    </w:p>
    <w:p>
      <w:pPr>
        <w:spacing w:after="80" w:before="0"/>
      </w:pPr>
      <w:r>
        <w:rPr>
          <w:rFonts w:ascii="Arial" w:cs="Arial" w:eastAsia="Arial" w:hAnsi="Arial"/>
          <w:color w:val="111111"/>
          <w:sz w:val="20"/>
          <w:szCs w:val="20"/>
        </w:rPr>
        <w:t xml:space="preserve">By signing below, both parties agree to this scope of work. It forms part of the service agreement between them.</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THE AGENCY</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THE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scope of work template by Taskip. Draft a custom SOW with AI: taskip.net/tools/free-ai-scope-of-work-generator/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Scope of Work</dc:title>
  <dc:creator>Taskip</dc:creator>
  <dc:description>Free digital marketing scope of work by Taskip</dc:description>
  <cp:lastModifiedBy>Un-named</cp:lastModifiedBy>
  <cp:revision>1</cp:revision>
  <dcterms:created xsi:type="dcterms:W3CDTF">2026-10-15T11:37:05.450Z</dcterms:created>
  <dcterms:modified xsi:type="dcterms:W3CDTF">2026-10-15T11:37:05.450Z</dcterms:modified>
</cp:coreProperties>
</file>

<file path=docProps/custom.xml><?xml version="1.0" encoding="utf-8"?>
<Properties xmlns="http://schemas.openxmlformats.org/officeDocument/2006/custom-properties" xmlns:vt="http://schemas.openxmlformats.org/officeDocument/2006/docPropsVTypes"/>
</file>